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5EE5" w:rsidRDefault="009930A2">
      <w:pPr>
        <w:pStyle w:val="Heading1"/>
      </w:pPr>
      <w:bookmarkStart w:id="0" w:name="h.gjdgxs" w:colFirst="0" w:colLast="0"/>
      <w:bookmarkEnd w:id="0"/>
      <w:r>
        <w:rPr>
          <w:rFonts w:ascii="Arial" w:eastAsia="Arial" w:hAnsi="Arial" w:cs="Arial"/>
          <w:sz w:val="24"/>
          <w:szCs w:val="24"/>
        </w:rPr>
        <w:t>RATIONALE</w:t>
      </w:r>
    </w:p>
    <w:p w:rsidR="003F5EE5" w:rsidRPr="00405C39" w:rsidRDefault="00405C39" w:rsidP="00405C39">
      <w:pPr>
        <w:widowControl/>
        <w:ind w:left="420"/>
        <w:jc w:val="both"/>
        <w:rPr>
          <w:rFonts w:ascii="Arial" w:hAnsi="Arial" w:cs="Arial"/>
        </w:rPr>
      </w:pPr>
      <w:r w:rsidRPr="00405C39">
        <w:rPr>
          <w:rFonts w:ascii="Arial" w:eastAsia="Arial" w:hAnsi="Arial" w:cs="Arial"/>
        </w:rPr>
        <w:t xml:space="preserve">The Kingswood Brand is engaging, innovative and caring in everything we do to cultivate a </w:t>
      </w:r>
      <w:bookmarkStart w:id="1" w:name="_GoBack"/>
      <w:bookmarkEnd w:id="1"/>
      <w:r w:rsidRPr="00405C39">
        <w:rPr>
          <w:rFonts w:ascii="Arial" w:eastAsia="Arial" w:hAnsi="Arial" w:cs="Arial"/>
        </w:rPr>
        <w:t xml:space="preserve">great teaching and learning environment. </w:t>
      </w:r>
      <w:r w:rsidR="009930A2" w:rsidRPr="00405C39">
        <w:rPr>
          <w:rFonts w:ascii="Arial" w:hAnsi="Arial" w:cs="Arial"/>
        </w:rPr>
        <w:t>All students have a right to attend a mainstream government school and to have their individual needs addressed.</w:t>
      </w:r>
    </w:p>
    <w:p w:rsidR="003F5EE5" w:rsidRPr="00405C39" w:rsidRDefault="009930A2">
      <w:pPr>
        <w:pStyle w:val="Heading2"/>
        <w:rPr>
          <w:rFonts w:ascii="Arial" w:hAnsi="Arial" w:cs="Arial"/>
          <w:sz w:val="22"/>
          <w:szCs w:val="22"/>
        </w:rPr>
      </w:pPr>
      <w:bookmarkStart w:id="2" w:name="h.30j0zll" w:colFirst="0" w:colLast="0"/>
      <w:bookmarkEnd w:id="2"/>
      <w:r w:rsidRPr="00405C39">
        <w:rPr>
          <w:rFonts w:ascii="Arial" w:eastAsia="Arial" w:hAnsi="Arial" w:cs="Arial"/>
          <w:sz w:val="22"/>
          <w:szCs w:val="22"/>
        </w:rPr>
        <w:t>AIMS</w:t>
      </w:r>
    </w:p>
    <w:p w:rsidR="003F5EE5" w:rsidRPr="00405C39" w:rsidRDefault="009930A2">
      <w:pPr>
        <w:widowControl/>
        <w:numPr>
          <w:ilvl w:val="0"/>
          <w:numId w:val="1"/>
        </w:numPr>
        <w:ind w:hanging="360"/>
        <w:contextualSpacing/>
        <w:jc w:val="both"/>
        <w:rPr>
          <w:rFonts w:ascii="Arial" w:hAnsi="Arial" w:cs="Arial"/>
        </w:rPr>
      </w:pPr>
      <w:r w:rsidRPr="00405C39">
        <w:rPr>
          <w:rFonts w:ascii="Arial" w:hAnsi="Arial" w:cs="Arial"/>
        </w:rPr>
        <w:t xml:space="preserve">To provide all students with learning opportunities </w:t>
      </w:r>
      <w:proofErr w:type="gramStart"/>
      <w:r w:rsidRPr="00405C39">
        <w:rPr>
          <w:rFonts w:ascii="Arial" w:hAnsi="Arial" w:cs="Arial"/>
        </w:rPr>
        <w:t>that cater</w:t>
      </w:r>
      <w:proofErr w:type="gramEnd"/>
      <w:r w:rsidRPr="00405C39">
        <w:rPr>
          <w:rFonts w:ascii="Arial" w:hAnsi="Arial" w:cs="Arial"/>
        </w:rPr>
        <w:t xml:space="preserve"> for their individual needs.</w:t>
      </w:r>
    </w:p>
    <w:p w:rsidR="003F5EE5" w:rsidRPr="00405C39" w:rsidRDefault="009930A2">
      <w:pPr>
        <w:widowControl/>
        <w:numPr>
          <w:ilvl w:val="0"/>
          <w:numId w:val="1"/>
        </w:numPr>
        <w:ind w:hanging="360"/>
        <w:contextualSpacing/>
        <w:jc w:val="both"/>
        <w:rPr>
          <w:rFonts w:ascii="Arial" w:hAnsi="Arial" w:cs="Arial"/>
        </w:rPr>
      </w:pPr>
      <w:r w:rsidRPr="00405C39">
        <w:rPr>
          <w:rFonts w:ascii="Arial" w:hAnsi="Arial" w:cs="Arial"/>
        </w:rPr>
        <w:t xml:space="preserve">To ensure that those students who qualify for Program </w:t>
      </w:r>
      <w:proofErr w:type="gramStart"/>
      <w:r w:rsidRPr="00405C39">
        <w:rPr>
          <w:rFonts w:ascii="Arial" w:hAnsi="Arial" w:cs="Arial"/>
        </w:rPr>
        <w:t>For</w:t>
      </w:r>
      <w:proofErr w:type="gramEnd"/>
      <w:r w:rsidRPr="00405C39">
        <w:rPr>
          <w:rFonts w:ascii="Arial" w:hAnsi="Arial" w:cs="Arial"/>
        </w:rPr>
        <w:t xml:space="preserve"> Students with Disabilities (PSD) funding have programs tailored to meet their individual requirements.</w:t>
      </w:r>
    </w:p>
    <w:p w:rsidR="003F5EE5" w:rsidRPr="00405C39" w:rsidRDefault="009930A2">
      <w:pPr>
        <w:pStyle w:val="Heading2"/>
        <w:rPr>
          <w:rFonts w:ascii="Arial" w:hAnsi="Arial" w:cs="Arial"/>
          <w:sz w:val="22"/>
          <w:szCs w:val="22"/>
        </w:rPr>
      </w:pPr>
      <w:bookmarkStart w:id="3" w:name="h.1fob9te" w:colFirst="0" w:colLast="0"/>
      <w:bookmarkEnd w:id="3"/>
      <w:r w:rsidRPr="00405C39">
        <w:rPr>
          <w:rFonts w:ascii="Arial" w:eastAsia="Arial" w:hAnsi="Arial" w:cs="Arial"/>
          <w:sz w:val="22"/>
          <w:szCs w:val="22"/>
        </w:rPr>
        <w:t>IMPLEMENTATION</w:t>
      </w:r>
    </w:p>
    <w:p w:rsidR="003F5EE5" w:rsidRPr="00405C39" w:rsidRDefault="009930A2">
      <w:pPr>
        <w:widowControl/>
        <w:numPr>
          <w:ilvl w:val="0"/>
          <w:numId w:val="1"/>
        </w:numPr>
        <w:ind w:hanging="360"/>
        <w:contextualSpacing/>
        <w:jc w:val="both"/>
        <w:rPr>
          <w:rFonts w:ascii="Arial" w:hAnsi="Arial" w:cs="Arial"/>
        </w:rPr>
      </w:pPr>
      <w:r w:rsidRPr="00405C39">
        <w:rPr>
          <w:rFonts w:ascii="Arial" w:hAnsi="Arial" w:cs="Arial"/>
        </w:rPr>
        <w:t>A staff member will be assigned responsibility to coordinate the PSD program, in</w:t>
      </w:r>
      <w:r w:rsidRPr="00405C39">
        <w:rPr>
          <w:rFonts w:ascii="Arial" w:hAnsi="Arial" w:cs="Arial"/>
        </w:rPr>
        <w:t>cluding the coordination of applications for funding, the coordination of Student Support Groups, the development and implementation of program budgets, coordination of staff professional development and all other issues related to students with disabiliti</w:t>
      </w:r>
      <w:r w:rsidRPr="00405C39">
        <w:rPr>
          <w:rFonts w:ascii="Arial" w:hAnsi="Arial" w:cs="Arial"/>
        </w:rPr>
        <w:t>es and their respective program needs.</w:t>
      </w:r>
    </w:p>
    <w:p w:rsidR="003F5EE5" w:rsidRPr="00405C39" w:rsidRDefault="009930A2">
      <w:pPr>
        <w:widowControl/>
        <w:numPr>
          <w:ilvl w:val="0"/>
          <w:numId w:val="1"/>
        </w:numPr>
        <w:ind w:hanging="360"/>
        <w:contextualSpacing/>
        <w:jc w:val="both"/>
        <w:rPr>
          <w:rFonts w:ascii="Arial" w:hAnsi="Arial" w:cs="Arial"/>
        </w:rPr>
      </w:pPr>
      <w:r w:rsidRPr="00405C39">
        <w:rPr>
          <w:rFonts w:ascii="Arial" w:hAnsi="Arial" w:cs="Arial"/>
        </w:rPr>
        <w:t>The appraisal process for applications will occur at the earliest opportunity to provide the maximum potential for applications to be successful, and to ensure a smooth transition for new students into our school sett</w:t>
      </w:r>
      <w:r w:rsidRPr="00405C39">
        <w:rPr>
          <w:rFonts w:ascii="Arial" w:hAnsi="Arial" w:cs="Arial"/>
        </w:rPr>
        <w:t>ing.</w:t>
      </w:r>
    </w:p>
    <w:p w:rsidR="003F5EE5" w:rsidRPr="00405C39" w:rsidRDefault="009930A2">
      <w:pPr>
        <w:widowControl/>
        <w:numPr>
          <w:ilvl w:val="0"/>
          <w:numId w:val="1"/>
        </w:numPr>
        <w:tabs>
          <w:tab w:val="left" w:pos="180"/>
        </w:tabs>
        <w:ind w:hanging="360"/>
        <w:contextualSpacing/>
        <w:jc w:val="both"/>
        <w:rPr>
          <w:rFonts w:ascii="Arial" w:hAnsi="Arial" w:cs="Arial"/>
        </w:rPr>
      </w:pPr>
      <w:r w:rsidRPr="00405C39">
        <w:rPr>
          <w:rFonts w:ascii="Arial" w:hAnsi="Arial" w:cs="Arial"/>
        </w:rPr>
        <w:t>The Student Support Group process will be fully explained to all parties. Student Support Groups will be established for all eligible students to facilitate curriculum planning and resource provision.</w:t>
      </w:r>
    </w:p>
    <w:p w:rsidR="003F5EE5" w:rsidRPr="00405C39" w:rsidRDefault="009930A2">
      <w:pPr>
        <w:widowControl/>
        <w:numPr>
          <w:ilvl w:val="0"/>
          <w:numId w:val="1"/>
        </w:numPr>
        <w:ind w:hanging="360"/>
        <w:contextualSpacing/>
        <w:jc w:val="both"/>
        <w:rPr>
          <w:rFonts w:ascii="Arial" w:hAnsi="Arial" w:cs="Arial"/>
        </w:rPr>
      </w:pPr>
      <w:r w:rsidRPr="00405C39">
        <w:rPr>
          <w:rFonts w:ascii="Arial" w:hAnsi="Arial" w:cs="Arial"/>
        </w:rPr>
        <w:t xml:space="preserve">Student Support Groups will be invited to meet at </w:t>
      </w:r>
      <w:r w:rsidRPr="00405C39">
        <w:rPr>
          <w:rFonts w:ascii="Arial" w:hAnsi="Arial" w:cs="Arial"/>
        </w:rPr>
        <w:t>least once per term, and will make recommendations regarding the development and implementation of Personal Learning Plans, including student achievement goals, timelines and methods of evaluation, the use of support staff and external consultants, and the</w:t>
      </w:r>
      <w:r w:rsidRPr="00405C39">
        <w:rPr>
          <w:rFonts w:ascii="Arial" w:hAnsi="Arial" w:cs="Arial"/>
        </w:rPr>
        <w:t xml:space="preserve"> use of any additional resources required.  All meetings will be documented.</w:t>
      </w:r>
    </w:p>
    <w:p w:rsidR="003F5EE5" w:rsidRPr="00405C39" w:rsidRDefault="009930A2">
      <w:pPr>
        <w:widowControl/>
        <w:numPr>
          <w:ilvl w:val="0"/>
          <w:numId w:val="1"/>
        </w:numPr>
        <w:tabs>
          <w:tab w:val="left" w:pos="180"/>
        </w:tabs>
        <w:ind w:hanging="360"/>
        <w:contextualSpacing/>
        <w:jc w:val="both"/>
        <w:rPr>
          <w:rFonts w:ascii="Arial" w:hAnsi="Arial" w:cs="Arial"/>
        </w:rPr>
      </w:pPr>
      <w:r w:rsidRPr="00405C39">
        <w:rPr>
          <w:rFonts w:ascii="Arial" w:hAnsi="Arial" w:cs="Arial"/>
        </w:rPr>
        <w:t>Communication with relevant consultants and support agencies will be undertaken on a needs basis.</w:t>
      </w:r>
    </w:p>
    <w:p w:rsidR="003F5EE5" w:rsidRPr="00405C39" w:rsidRDefault="009930A2">
      <w:pPr>
        <w:widowControl/>
        <w:numPr>
          <w:ilvl w:val="0"/>
          <w:numId w:val="1"/>
        </w:numPr>
        <w:tabs>
          <w:tab w:val="left" w:pos="180"/>
        </w:tabs>
        <w:ind w:hanging="360"/>
        <w:contextualSpacing/>
        <w:jc w:val="both"/>
        <w:rPr>
          <w:rFonts w:ascii="Arial" w:hAnsi="Arial" w:cs="Arial"/>
        </w:rPr>
      </w:pPr>
      <w:r w:rsidRPr="00405C39">
        <w:rPr>
          <w:rFonts w:ascii="Arial" w:hAnsi="Arial" w:cs="Arial"/>
        </w:rPr>
        <w:t>All curriculum programs will be inclusive of all students.</w:t>
      </w:r>
    </w:p>
    <w:p w:rsidR="003F5EE5" w:rsidRPr="00405C39" w:rsidRDefault="009930A2">
      <w:pPr>
        <w:widowControl/>
        <w:numPr>
          <w:ilvl w:val="0"/>
          <w:numId w:val="1"/>
        </w:numPr>
        <w:tabs>
          <w:tab w:val="left" w:pos="180"/>
        </w:tabs>
        <w:ind w:hanging="360"/>
        <w:contextualSpacing/>
        <w:jc w:val="both"/>
        <w:rPr>
          <w:rFonts w:ascii="Arial" w:hAnsi="Arial" w:cs="Arial"/>
        </w:rPr>
      </w:pPr>
      <w:r w:rsidRPr="00405C39">
        <w:rPr>
          <w:rFonts w:ascii="Arial" w:hAnsi="Arial" w:cs="Arial"/>
        </w:rPr>
        <w:t>Professional developme</w:t>
      </w:r>
      <w:r w:rsidRPr="00405C39">
        <w:rPr>
          <w:rFonts w:ascii="Arial" w:hAnsi="Arial" w:cs="Arial"/>
        </w:rPr>
        <w:t>nt relating to disabilities will be made available to all staff as required.</w:t>
      </w:r>
    </w:p>
    <w:p w:rsidR="003F5EE5" w:rsidRPr="00405C39" w:rsidRDefault="003F5EE5">
      <w:pPr>
        <w:pStyle w:val="Heading2"/>
        <w:tabs>
          <w:tab w:val="center" w:pos="4153"/>
          <w:tab w:val="right" w:pos="8306"/>
        </w:tabs>
        <w:rPr>
          <w:rFonts w:ascii="Arial" w:hAnsi="Arial" w:cs="Arial"/>
          <w:sz w:val="22"/>
          <w:szCs w:val="22"/>
        </w:rPr>
      </w:pPr>
      <w:bookmarkStart w:id="4" w:name="h.x673arpegv2z" w:colFirst="0" w:colLast="0"/>
      <w:bookmarkEnd w:id="4"/>
    </w:p>
    <w:p w:rsidR="003F5EE5" w:rsidRPr="00405C39" w:rsidRDefault="009930A2">
      <w:pPr>
        <w:pStyle w:val="Heading2"/>
        <w:tabs>
          <w:tab w:val="center" w:pos="4153"/>
          <w:tab w:val="right" w:pos="8306"/>
        </w:tabs>
        <w:rPr>
          <w:rFonts w:ascii="Arial" w:hAnsi="Arial" w:cs="Arial"/>
          <w:sz w:val="22"/>
          <w:szCs w:val="22"/>
        </w:rPr>
      </w:pPr>
      <w:bookmarkStart w:id="5" w:name="h.qxd7xs29mzko" w:colFirst="0" w:colLast="0"/>
      <w:bookmarkEnd w:id="5"/>
      <w:r w:rsidRPr="00405C39">
        <w:rPr>
          <w:rFonts w:ascii="Arial" w:eastAsia="Arial" w:hAnsi="Arial" w:cs="Arial"/>
          <w:sz w:val="22"/>
          <w:szCs w:val="22"/>
        </w:rPr>
        <w:t>REFERENCES</w:t>
      </w:r>
    </w:p>
    <w:p w:rsidR="003F5EE5" w:rsidRPr="00405C39" w:rsidRDefault="009930A2">
      <w:pPr>
        <w:tabs>
          <w:tab w:val="center" w:pos="4153"/>
          <w:tab w:val="right" w:pos="8306"/>
        </w:tabs>
        <w:rPr>
          <w:rFonts w:ascii="Arial" w:hAnsi="Arial" w:cs="Arial"/>
        </w:rPr>
      </w:pPr>
      <w:r w:rsidRPr="00405C39">
        <w:rPr>
          <w:rFonts w:ascii="Arial" w:hAnsi="Arial" w:cs="Arial"/>
        </w:rPr>
        <w:t>Curriculum Policy</w:t>
      </w:r>
    </w:p>
    <w:p w:rsidR="003F5EE5" w:rsidRDefault="009930A2">
      <w:pPr>
        <w:pStyle w:val="Heading2"/>
      </w:pPr>
      <w:r>
        <w:rPr>
          <w:rFonts w:ascii="Arial" w:eastAsia="Arial" w:hAnsi="Arial" w:cs="Arial"/>
          <w:sz w:val="24"/>
          <w:szCs w:val="24"/>
        </w:rPr>
        <w:t>EVALUATION</w:t>
      </w:r>
    </w:p>
    <w:p w:rsidR="003F5EE5" w:rsidRDefault="009930A2">
      <w:bookmarkStart w:id="6" w:name="h.1t3h5sf" w:colFirst="0" w:colLast="0"/>
      <w:bookmarkEnd w:id="6"/>
      <w:r>
        <w:rPr>
          <w:rFonts w:ascii="Arial" w:eastAsia="Arial" w:hAnsi="Arial" w:cs="Arial"/>
          <w:sz w:val="24"/>
          <w:szCs w:val="24"/>
        </w:rPr>
        <w:t>This policy will be reviewed as part of the school’s three-year review cycle.</w:t>
      </w:r>
    </w:p>
    <w:p w:rsidR="003F5EE5" w:rsidRDefault="009930A2">
      <w:pPr>
        <w:pStyle w:val="Heading2"/>
        <w:tabs>
          <w:tab w:val="center" w:pos="4153"/>
          <w:tab w:val="right" w:pos="8306"/>
        </w:tabs>
      </w:pPr>
      <w:r>
        <w:rPr>
          <w:rFonts w:ascii="Arial" w:eastAsia="Arial" w:hAnsi="Arial" w:cs="Arial"/>
          <w:sz w:val="24"/>
          <w:szCs w:val="24"/>
        </w:rPr>
        <w:t>Review</w:t>
      </w:r>
    </w:p>
    <w:tbl>
      <w:tblPr>
        <w:tblStyle w:val="a"/>
        <w:tblW w:w="10440" w:type="dxa"/>
        <w:tblInd w:w="-57"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600" w:firstRow="0" w:lastRow="0" w:firstColumn="0" w:lastColumn="0" w:noHBand="1" w:noVBand="1"/>
      </w:tblPr>
      <w:tblGrid>
        <w:gridCol w:w="1134"/>
        <w:gridCol w:w="8172"/>
        <w:gridCol w:w="1134"/>
      </w:tblGrid>
      <w:tr w:rsidR="003F5EE5">
        <w:tc>
          <w:tcPr>
            <w:tcW w:w="1134" w:type="dxa"/>
            <w:tcBorders>
              <w:top w:val="single" w:sz="4" w:space="0" w:color="B7B7B7"/>
              <w:left w:val="single" w:sz="4" w:space="0" w:color="B7B7B7"/>
              <w:bottom w:val="single" w:sz="4" w:space="0" w:color="B7B7B7"/>
              <w:right w:val="single" w:sz="4" w:space="0" w:color="B7B7B7"/>
            </w:tcBorders>
            <w:shd w:val="clear" w:color="auto" w:fill="F3F3F3"/>
            <w:tcMar>
              <w:top w:w="57" w:type="dxa"/>
              <w:left w:w="57" w:type="dxa"/>
              <w:bottom w:w="57" w:type="dxa"/>
              <w:right w:w="57" w:type="dxa"/>
            </w:tcMar>
          </w:tcPr>
          <w:p w:rsidR="003F5EE5" w:rsidRDefault="009930A2">
            <w:pPr>
              <w:tabs>
                <w:tab w:val="center" w:pos="4153"/>
                <w:tab w:val="right" w:pos="8306"/>
              </w:tabs>
            </w:pPr>
            <w:r>
              <w:rPr>
                <w:rFonts w:ascii="Arial" w:eastAsia="Arial" w:hAnsi="Arial" w:cs="Arial"/>
                <w:b/>
                <w:sz w:val="16"/>
                <w:szCs w:val="16"/>
              </w:rPr>
              <w:t>Version</w:t>
            </w:r>
          </w:p>
        </w:tc>
        <w:tc>
          <w:tcPr>
            <w:tcW w:w="8172" w:type="dxa"/>
            <w:tcBorders>
              <w:top w:val="single" w:sz="4" w:space="0" w:color="B7B7B7"/>
              <w:left w:val="single" w:sz="4" w:space="0" w:color="B7B7B7"/>
              <w:bottom w:val="single" w:sz="4" w:space="0" w:color="B7B7B7"/>
              <w:right w:val="single" w:sz="4" w:space="0" w:color="B7B7B7"/>
            </w:tcBorders>
            <w:shd w:val="clear" w:color="auto" w:fill="F3F3F3"/>
            <w:tcMar>
              <w:top w:w="57" w:type="dxa"/>
              <w:left w:w="57" w:type="dxa"/>
              <w:bottom w:w="57" w:type="dxa"/>
              <w:right w:w="57" w:type="dxa"/>
            </w:tcMar>
          </w:tcPr>
          <w:p w:rsidR="003F5EE5" w:rsidRDefault="009930A2">
            <w:pPr>
              <w:tabs>
                <w:tab w:val="center" w:pos="4153"/>
                <w:tab w:val="right" w:pos="8306"/>
              </w:tabs>
            </w:pPr>
            <w:r>
              <w:rPr>
                <w:rFonts w:ascii="Arial" w:eastAsia="Arial" w:hAnsi="Arial" w:cs="Arial"/>
                <w:b/>
                <w:sz w:val="16"/>
                <w:szCs w:val="16"/>
              </w:rPr>
              <w:t>Edited By / Comments</w:t>
            </w:r>
          </w:p>
        </w:tc>
        <w:tc>
          <w:tcPr>
            <w:tcW w:w="1134" w:type="dxa"/>
            <w:tcBorders>
              <w:top w:val="single" w:sz="4" w:space="0" w:color="B7B7B7"/>
              <w:left w:val="single" w:sz="4" w:space="0" w:color="B7B7B7"/>
              <w:bottom w:val="single" w:sz="4" w:space="0" w:color="B7B7B7"/>
              <w:right w:val="single" w:sz="4" w:space="0" w:color="B7B7B7"/>
            </w:tcBorders>
            <w:shd w:val="clear" w:color="auto" w:fill="F3F3F3"/>
            <w:tcMar>
              <w:top w:w="57" w:type="dxa"/>
              <w:left w:w="57" w:type="dxa"/>
              <w:bottom w:w="57" w:type="dxa"/>
              <w:right w:w="57" w:type="dxa"/>
            </w:tcMar>
          </w:tcPr>
          <w:p w:rsidR="003F5EE5" w:rsidRDefault="009930A2">
            <w:pPr>
              <w:tabs>
                <w:tab w:val="center" w:pos="4153"/>
                <w:tab w:val="right" w:pos="8306"/>
              </w:tabs>
            </w:pPr>
            <w:r>
              <w:rPr>
                <w:rFonts w:ascii="Arial" w:eastAsia="Arial" w:hAnsi="Arial" w:cs="Arial"/>
                <w:b/>
                <w:sz w:val="16"/>
                <w:szCs w:val="16"/>
              </w:rPr>
              <w:t>Next Review</w:t>
            </w:r>
          </w:p>
        </w:tc>
      </w:tr>
      <w:tr w:rsidR="003F5EE5">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3F5EE5" w:rsidRDefault="009930A2">
            <w:pPr>
              <w:tabs>
                <w:tab w:val="center" w:pos="4153"/>
                <w:tab w:val="right" w:pos="8306"/>
              </w:tabs>
            </w:pPr>
            <w:r>
              <w:rPr>
                <w:rFonts w:ascii="Arial" w:eastAsia="Arial" w:hAnsi="Arial" w:cs="Arial"/>
                <w:sz w:val="16"/>
                <w:szCs w:val="16"/>
              </w:rPr>
              <w:t>June 2012</w:t>
            </w:r>
          </w:p>
        </w:tc>
        <w:tc>
          <w:tcPr>
            <w:tcW w:w="8172"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3F5EE5" w:rsidRDefault="009930A2">
            <w:pPr>
              <w:tabs>
                <w:tab w:val="center" w:pos="4153"/>
                <w:tab w:val="right" w:pos="8306"/>
              </w:tabs>
            </w:pPr>
            <w:r>
              <w:rPr>
                <w:rFonts w:ascii="Arial" w:eastAsia="Arial" w:hAnsi="Arial" w:cs="Arial"/>
                <w:sz w:val="16"/>
                <w:szCs w:val="16"/>
              </w:rPr>
              <w:t xml:space="preserve"> Environment &amp; Facilities  Sub-Committee </w:t>
            </w:r>
          </w:p>
        </w:tc>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3F5EE5" w:rsidRDefault="009930A2">
            <w:pPr>
              <w:tabs>
                <w:tab w:val="center" w:pos="4153"/>
                <w:tab w:val="right" w:pos="8306"/>
              </w:tabs>
            </w:pPr>
            <w:r>
              <w:rPr>
                <w:rFonts w:ascii="Arial" w:eastAsia="Arial" w:hAnsi="Arial" w:cs="Arial"/>
                <w:sz w:val="16"/>
                <w:szCs w:val="16"/>
              </w:rPr>
              <w:t>June 2016</w:t>
            </w:r>
          </w:p>
        </w:tc>
      </w:tr>
      <w:tr w:rsidR="003F5EE5">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3F5EE5" w:rsidRDefault="009930A2">
            <w:pPr>
              <w:tabs>
                <w:tab w:val="center" w:pos="4153"/>
                <w:tab w:val="right" w:pos="8306"/>
              </w:tabs>
            </w:pPr>
            <w:r>
              <w:rPr>
                <w:rFonts w:ascii="Arial" w:eastAsia="Arial" w:hAnsi="Arial" w:cs="Arial"/>
                <w:sz w:val="16"/>
                <w:szCs w:val="16"/>
              </w:rPr>
              <w:t>May 2016</w:t>
            </w:r>
          </w:p>
        </w:tc>
        <w:tc>
          <w:tcPr>
            <w:tcW w:w="8172"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3F5EE5" w:rsidRDefault="009930A2">
            <w:pPr>
              <w:tabs>
                <w:tab w:val="center" w:pos="4153"/>
                <w:tab w:val="right" w:pos="8306"/>
              </w:tabs>
            </w:pPr>
            <w:r>
              <w:rPr>
                <w:rFonts w:ascii="Arial" w:eastAsia="Arial" w:hAnsi="Arial" w:cs="Arial"/>
                <w:sz w:val="16"/>
                <w:szCs w:val="16"/>
              </w:rPr>
              <w:t>Wellbeing Sub-Committee</w:t>
            </w:r>
          </w:p>
        </w:tc>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3F5EE5" w:rsidRDefault="009930A2">
            <w:pPr>
              <w:tabs>
                <w:tab w:val="center" w:pos="4153"/>
                <w:tab w:val="right" w:pos="8306"/>
              </w:tabs>
            </w:pPr>
            <w:r>
              <w:rPr>
                <w:rFonts w:ascii="Arial" w:eastAsia="Arial" w:hAnsi="Arial" w:cs="Arial"/>
                <w:sz w:val="16"/>
                <w:szCs w:val="16"/>
              </w:rPr>
              <w:t>May 2019</w:t>
            </w:r>
          </w:p>
        </w:tc>
      </w:tr>
      <w:tr w:rsidR="003F5EE5">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3F5EE5" w:rsidRDefault="003F5EE5">
            <w:pPr>
              <w:tabs>
                <w:tab w:val="center" w:pos="4153"/>
                <w:tab w:val="right" w:pos="8306"/>
              </w:tabs>
            </w:pPr>
          </w:p>
        </w:tc>
        <w:tc>
          <w:tcPr>
            <w:tcW w:w="8172"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3F5EE5" w:rsidRDefault="003F5EE5">
            <w:pPr>
              <w:tabs>
                <w:tab w:val="center" w:pos="4153"/>
                <w:tab w:val="right" w:pos="8306"/>
              </w:tabs>
            </w:pPr>
          </w:p>
        </w:tc>
        <w:tc>
          <w:tcPr>
            <w:tcW w:w="1134"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tcPr>
          <w:p w:rsidR="003F5EE5" w:rsidRDefault="003F5EE5">
            <w:pPr>
              <w:tabs>
                <w:tab w:val="center" w:pos="4153"/>
                <w:tab w:val="right" w:pos="8306"/>
              </w:tabs>
            </w:pPr>
          </w:p>
        </w:tc>
      </w:tr>
    </w:tbl>
    <w:p w:rsidR="003F5EE5" w:rsidRDefault="003F5EE5">
      <w:pPr>
        <w:tabs>
          <w:tab w:val="center" w:pos="4153"/>
          <w:tab w:val="right" w:pos="8306"/>
        </w:tabs>
      </w:pPr>
    </w:p>
    <w:p w:rsidR="003F5EE5" w:rsidRDefault="003F5EE5">
      <w:pPr>
        <w:tabs>
          <w:tab w:val="center" w:pos="4153"/>
          <w:tab w:val="right" w:pos="8306"/>
        </w:tabs>
      </w:pPr>
    </w:p>
    <w:p w:rsidR="003F5EE5" w:rsidRDefault="003F5EE5">
      <w:pPr>
        <w:tabs>
          <w:tab w:val="center" w:pos="4153"/>
          <w:tab w:val="right" w:pos="8306"/>
        </w:tabs>
      </w:pPr>
    </w:p>
    <w:sectPr w:rsidR="003F5EE5">
      <w:headerReference w:type="default" r:id="rId8"/>
      <w:footerReference w:type="default" r:id="rId9"/>
      <w:pgSz w:w="11906" w:h="16838"/>
      <w:pgMar w:top="907" w:right="748" w:bottom="1440" w:left="72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30A2">
      <w:r>
        <w:separator/>
      </w:r>
    </w:p>
  </w:endnote>
  <w:endnote w:type="continuationSeparator" w:id="0">
    <w:p w:rsidR="00000000" w:rsidRDefault="0099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E5" w:rsidRDefault="009930A2">
    <w:pPr>
      <w:spacing w:before="200"/>
    </w:pPr>
    <w:r>
      <w:rPr>
        <w:rFonts w:ascii="Arial" w:eastAsia="Arial" w:hAnsi="Arial" w:cs="Arial"/>
        <w:b/>
        <w:color w:val="073763"/>
        <w:sz w:val="14"/>
        <w:szCs w:val="14"/>
      </w:rPr>
      <w:t xml:space="preserve">Kingswood Primary </w:t>
    </w:r>
    <w:proofErr w:type="gramStart"/>
    <w:r>
      <w:rPr>
        <w:rFonts w:ascii="Arial" w:eastAsia="Arial" w:hAnsi="Arial" w:cs="Arial"/>
        <w:b/>
        <w:color w:val="073763"/>
        <w:sz w:val="14"/>
        <w:szCs w:val="14"/>
      </w:rPr>
      <w:t>School</w:t>
    </w:r>
    <w:r>
      <w:rPr>
        <w:rFonts w:ascii="Arial" w:eastAsia="Arial" w:hAnsi="Arial" w:cs="Arial"/>
        <w:color w:val="073763"/>
        <w:sz w:val="14"/>
        <w:szCs w:val="14"/>
      </w:rPr>
      <w:t xml:space="preserve">  Plaza</w:t>
    </w:r>
    <w:proofErr w:type="gramEnd"/>
    <w:r>
      <w:rPr>
        <w:rFonts w:ascii="Arial" w:eastAsia="Arial" w:hAnsi="Arial" w:cs="Arial"/>
        <w:color w:val="073763"/>
        <w:sz w:val="14"/>
        <w:szCs w:val="14"/>
      </w:rPr>
      <w:t xml:space="preserve"> Crescent  Dingley Village  Victoria  3172</w:t>
    </w:r>
  </w:p>
  <w:p w:rsidR="003F5EE5" w:rsidRDefault="009930A2">
    <w:r>
      <w:rPr>
        <w:rFonts w:ascii="Arial" w:eastAsia="Arial" w:hAnsi="Arial" w:cs="Arial"/>
        <w:b/>
        <w:color w:val="073763"/>
        <w:sz w:val="14"/>
        <w:szCs w:val="14"/>
      </w:rPr>
      <w:t>Email</w:t>
    </w:r>
    <w:r>
      <w:rPr>
        <w:rFonts w:ascii="Arial" w:eastAsia="Arial" w:hAnsi="Arial" w:cs="Arial"/>
        <w:color w:val="073763"/>
        <w:sz w:val="14"/>
        <w:szCs w:val="14"/>
      </w:rPr>
      <w:t xml:space="preserve">: </w:t>
    </w:r>
    <w:hyperlink r:id="rId1">
      <w:r>
        <w:rPr>
          <w:rFonts w:ascii="Arial" w:eastAsia="Arial" w:hAnsi="Arial" w:cs="Arial"/>
          <w:color w:val="073763"/>
          <w:sz w:val="14"/>
          <w:szCs w:val="14"/>
          <w:u w:val="single"/>
        </w:rPr>
        <w:t>kingswood.ps@edumail.vic.gov.au</w:t>
      </w:r>
    </w:hyperlink>
    <w:r>
      <w:rPr>
        <w:rFonts w:ascii="Arial" w:eastAsia="Arial" w:hAnsi="Arial" w:cs="Arial"/>
        <w:color w:val="073763"/>
        <w:sz w:val="14"/>
        <w:szCs w:val="14"/>
      </w:rPr>
      <w:t xml:space="preserve">  </w:t>
    </w:r>
    <w:r>
      <w:rPr>
        <w:rFonts w:ascii="Arial" w:eastAsia="Arial" w:hAnsi="Arial" w:cs="Arial"/>
        <w:b/>
        <w:color w:val="073763"/>
        <w:sz w:val="14"/>
        <w:szCs w:val="14"/>
      </w:rPr>
      <w:t>Website</w:t>
    </w:r>
    <w:r>
      <w:rPr>
        <w:rFonts w:ascii="Arial" w:eastAsia="Arial" w:hAnsi="Arial" w:cs="Arial"/>
        <w:color w:val="073763"/>
        <w:sz w:val="14"/>
        <w:szCs w:val="14"/>
      </w:rPr>
      <w:t>: kingswood.vic.edu.au</w:t>
    </w:r>
  </w:p>
  <w:p w:rsidR="003F5EE5" w:rsidRDefault="009930A2">
    <w:r>
      <w:rPr>
        <w:rFonts w:ascii="Arial" w:eastAsia="Arial" w:hAnsi="Arial" w:cs="Arial"/>
        <w:b/>
        <w:color w:val="073763"/>
        <w:sz w:val="14"/>
        <w:szCs w:val="14"/>
      </w:rPr>
      <w:t>Phone</w:t>
    </w:r>
    <w:r>
      <w:rPr>
        <w:rFonts w:ascii="Arial" w:eastAsia="Arial" w:hAnsi="Arial" w:cs="Arial"/>
        <w:color w:val="073763"/>
        <w:sz w:val="14"/>
        <w:szCs w:val="14"/>
      </w:rPr>
      <w:t xml:space="preserve">: 03 9551 </w:t>
    </w:r>
    <w:proofErr w:type="gramStart"/>
    <w:r>
      <w:rPr>
        <w:rFonts w:ascii="Arial" w:eastAsia="Arial" w:hAnsi="Arial" w:cs="Arial"/>
        <w:color w:val="073763"/>
        <w:sz w:val="14"/>
        <w:szCs w:val="14"/>
      </w:rPr>
      <w:t xml:space="preserve">1727  </w:t>
    </w:r>
    <w:r>
      <w:rPr>
        <w:rFonts w:ascii="Arial" w:eastAsia="Arial" w:hAnsi="Arial" w:cs="Arial"/>
        <w:b/>
        <w:color w:val="073763"/>
        <w:sz w:val="14"/>
        <w:szCs w:val="14"/>
      </w:rPr>
      <w:t>Facsimile</w:t>
    </w:r>
    <w:proofErr w:type="gramEnd"/>
    <w:r>
      <w:rPr>
        <w:rFonts w:ascii="Arial" w:eastAsia="Arial" w:hAnsi="Arial" w:cs="Arial"/>
        <w:color w:val="073763"/>
        <w:sz w:val="14"/>
        <w:szCs w:val="14"/>
      </w:rPr>
      <w:t>: 03 9551 4544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30A2">
      <w:r>
        <w:separator/>
      </w:r>
    </w:p>
  </w:footnote>
  <w:footnote w:type="continuationSeparator" w:id="0">
    <w:p w:rsidR="00000000" w:rsidRDefault="00993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E5" w:rsidRDefault="009930A2">
    <w:r>
      <w:rPr>
        <w:noProof/>
      </w:rPr>
      <w:drawing>
        <wp:anchor distT="114300" distB="114300" distL="114300" distR="114300" simplePos="0" relativeHeight="251658240" behindDoc="0" locked="0" layoutInCell="0" hidden="0" allowOverlap="0">
          <wp:simplePos x="0" y="0"/>
          <wp:positionH relativeFrom="margin">
            <wp:posOffset>5591175</wp:posOffset>
          </wp:positionH>
          <wp:positionV relativeFrom="paragraph">
            <wp:posOffset>57150</wp:posOffset>
          </wp:positionV>
          <wp:extent cx="828675" cy="82867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828675" cy="828675"/>
                  </a:xfrm>
                  <a:prstGeom prst="rect">
                    <a:avLst/>
                  </a:prstGeom>
                  <a:ln/>
                </pic:spPr>
              </pic:pic>
            </a:graphicData>
          </a:graphic>
        </wp:anchor>
      </w:drawing>
    </w:r>
  </w:p>
  <w:p w:rsidR="003F5EE5" w:rsidRDefault="003F5EE5"/>
  <w:p w:rsidR="003F5EE5" w:rsidRDefault="009930A2">
    <w:pPr>
      <w:tabs>
        <w:tab w:val="right" w:pos="10470"/>
      </w:tabs>
      <w:spacing w:before="300" w:after="400"/>
    </w:pPr>
    <w:r>
      <w:rPr>
        <w:rFonts w:ascii="Arial" w:eastAsia="Arial" w:hAnsi="Arial" w:cs="Arial"/>
        <w:b/>
        <w:sz w:val="48"/>
        <w:szCs w:val="48"/>
      </w:rPr>
      <w:t>Disability Policy</w:t>
    </w:r>
    <w:r>
      <w:rPr>
        <w:rFonts w:ascii="Arial" w:eastAsia="Arial" w:hAnsi="Arial" w:cs="Arial"/>
        <w:b/>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1A84"/>
    <w:multiLevelType w:val="multilevel"/>
    <w:tmpl w:val="E4448D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F5EE5"/>
    <w:rsid w:val="003F5EE5"/>
    <w:rsid w:val="00405C39"/>
    <w:rsid w:val="00993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en-AU" w:eastAsia="en-A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line="276" w:lineRule="auto"/>
      <w:jc w:val="both"/>
      <w:outlineLvl w:val="0"/>
    </w:pPr>
    <w:rPr>
      <w:b/>
      <w:sz w:val="28"/>
      <w:szCs w:val="28"/>
    </w:rPr>
  </w:style>
  <w:style w:type="paragraph" w:styleId="Heading2">
    <w:name w:val="heading 2"/>
    <w:basedOn w:val="Normal"/>
    <w:next w:val="Normal"/>
    <w:pPr>
      <w:keepNext/>
      <w:keepLines/>
      <w:spacing w:before="240" w:after="120"/>
      <w:outlineLvl w:val="1"/>
    </w:pPr>
    <w:rPr>
      <w:b/>
      <w:sz w:val="28"/>
      <w:szCs w:val="28"/>
    </w:rPr>
  </w:style>
  <w:style w:type="paragraph" w:styleId="Heading3">
    <w:name w:val="heading 3"/>
    <w:basedOn w:val="Normal"/>
    <w:next w:val="Normal"/>
    <w:pPr>
      <w:keepNext/>
      <w:keepLines/>
      <w:spacing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ind w:left="-14"/>
    </w:pPr>
    <w:rPr>
      <w:b/>
      <w:sz w:val="48"/>
      <w:szCs w:val="48"/>
    </w:rPr>
  </w:style>
  <w:style w:type="paragraph" w:styleId="Subtitle">
    <w:name w:val="Subtitle"/>
    <w:basedOn w:val="Normal"/>
    <w:next w:val="Normal"/>
    <w:pPr>
      <w:keepNext/>
      <w:keepLines/>
      <w:ind w:left="709"/>
      <w:jc w:val="center"/>
    </w:pPr>
    <w:rPr>
      <w:b/>
      <w:i/>
      <w:sz w:val="24"/>
      <w:szCs w:val="24"/>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en-AU" w:eastAsia="en-A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line="276" w:lineRule="auto"/>
      <w:jc w:val="both"/>
      <w:outlineLvl w:val="0"/>
    </w:pPr>
    <w:rPr>
      <w:b/>
      <w:sz w:val="28"/>
      <w:szCs w:val="28"/>
    </w:rPr>
  </w:style>
  <w:style w:type="paragraph" w:styleId="Heading2">
    <w:name w:val="heading 2"/>
    <w:basedOn w:val="Normal"/>
    <w:next w:val="Normal"/>
    <w:pPr>
      <w:keepNext/>
      <w:keepLines/>
      <w:spacing w:before="240" w:after="120"/>
      <w:outlineLvl w:val="1"/>
    </w:pPr>
    <w:rPr>
      <w:b/>
      <w:sz w:val="28"/>
      <w:szCs w:val="28"/>
    </w:rPr>
  </w:style>
  <w:style w:type="paragraph" w:styleId="Heading3">
    <w:name w:val="heading 3"/>
    <w:basedOn w:val="Normal"/>
    <w:next w:val="Normal"/>
    <w:pPr>
      <w:keepNext/>
      <w:keepLines/>
      <w:spacing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ind w:left="-14"/>
    </w:pPr>
    <w:rPr>
      <w:b/>
      <w:sz w:val="48"/>
      <w:szCs w:val="48"/>
    </w:rPr>
  </w:style>
  <w:style w:type="paragraph" w:styleId="Subtitle">
    <w:name w:val="Subtitle"/>
    <w:basedOn w:val="Normal"/>
    <w:next w:val="Normal"/>
    <w:pPr>
      <w:keepNext/>
      <w:keepLines/>
      <w:ind w:left="709"/>
      <w:jc w:val="center"/>
    </w:pPr>
    <w:rPr>
      <w:b/>
      <w:i/>
      <w:sz w:val="24"/>
      <w:szCs w:val="24"/>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ingswood.ps@edumail.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Holden, Rosemary A</dc:creator>
  <cp:lastModifiedBy>Holden, Rosemary A</cp:lastModifiedBy>
  <cp:revision>2</cp:revision>
  <dcterms:created xsi:type="dcterms:W3CDTF">2016-05-11T04:28:00Z</dcterms:created>
  <dcterms:modified xsi:type="dcterms:W3CDTF">2016-05-11T04:28:00Z</dcterms:modified>
</cp:coreProperties>
</file>